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D7E4BD" w:themeColor="accent3" w:themeTint="66"/>
  <w:body>
    <w:p>
      <w:pPr>
        <w:ind w:firstLine="720" w:firstLineChars="200"/>
        <w:jc w:val="both"/>
        <w:rPr>
          <w:rFonts w:hint="eastAsia" w:ascii="方正小标宋_GBK" w:hAnsi="方正小标宋_GBK" w:eastAsia="方正小标宋_GBK" w:cs="方正小标宋_GBK"/>
          <w:b w:val="0"/>
          <w:bCs w:val="0"/>
          <w:sz w:val="36"/>
          <w:szCs w:val="36"/>
        </w:rPr>
      </w:pPr>
    </w:p>
    <w:p>
      <w:pPr>
        <w:ind w:firstLine="720" w:firstLineChars="200"/>
        <w:jc w:val="both"/>
        <w:rPr>
          <w:rFonts w:hint="eastAsia" w:ascii="方正小标宋_GBK" w:hAnsi="方正小标宋_GBK" w:eastAsia="方正小标宋_GBK" w:cs="方正小标宋_GBK"/>
          <w:b w:val="0"/>
          <w:bCs w:val="0"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z w:val="36"/>
          <w:szCs w:val="36"/>
        </w:rPr>
        <w:t>吉林市教育局202</w:t>
      </w:r>
      <w:r>
        <w:rPr>
          <w:rFonts w:hint="default" w:ascii="方正小标宋_GBK" w:hAnsi="方正小标宋_GBK" w:eastAsia="方正小标宋_GBK" w:cs="方正小标宋_GBK"/>
          <w:b w:val="0"/>
          <w:bCs w:val="0"/>
          <w:sz w:val="36"/>
          <w:szCs w:val="36"/>
          <w:lang w:val="en" w:eastAsia="zh-CN"/>
        </w:rPr>
        <w:t>2</w:t>
      </w:r>
      <w:r>
        <w:rPr>
          <w:rFonts w:hint="eastAsia" w:ascii="方正小标宋_GBK" w:hAnsi="方正小标宋_GBK" w:eastAsia="方正小标宋_GBK" w:cs="方正小标宋_GBK"/>
          <w:b w:val="0"/>
          <w:bCs w:val="0"/>
          <w:sz w:val="36"/>
          <w:szCs w:val="36"/>
        </w:rPr>
        <w:t>年政府信息公开工作年度报告</w:t>
      </w:r>
    </w:p>
    <w:p>
      <w:pPr>
        <w:ind w:firstLine="720" w:firstLineChars="200"/>
        <w:jc w:val="both"/>
        <w:rPr>
          <w:rFonts w:hint="eastAsia" w:ascii="方正小标宋_GBK" w:hAnsi="方正小标宋_GBK" w:eastAsia="方正小标宋_GBK" w:cs="方正小标宋_GBK"/>
          <w:b w:val="0"/>
          <w:bCs w:val="0"/>
          <w:sz w:val="36"/>
          <w:szCs w:val="36"/>
        </w:rPr>
      </w:pPr>
    </w:p>
    <w:p>
      <w:pPr>
        <w:ind w:firstLine="480" w:firstLineChars="200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根据《中华人民共和国政府信息公开条例》（以下简称《条例》）的规定和《吉林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省</w:t>
      </w:r>
      <w:r>
        <w:rPr>
          <w:rFonts w:hint="eastAsia" w:ascii="宋体" w:hAnsi="宋体" w:eastAsia="宋体" w:cs="宋体"/>
          <w:sz w:val="24"/>
          <w:szCs w:val="24"/>
        </w:rPr>
        <w:t>人民政府办公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厅</w:t>
      </w:r>
      <w:r>
        <w:rPr>
          <w:rFonts w:hint="eastAsia" w:ascii="宋体" w:hAnsi="宋体" w:eastAsia="宋体" w:cs="宋体"/>
          <w:sz w:val="24"/>
          <w:szCs w:val="24"/>
        </w:rPr>
        <w:t>关于做好政府信息公开工作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年度</w:t>
      </w:r>
      <w:r>
        <w:rPr>
          <w:rFonts w:hint="eastAsia" w:ascii="宋体" w:hAnsi="宋体" w:eastAsia="宋体" w:cs="宋体"/>
          <w:sz w:val="24"/>
          <w:szCs w:val="24"/>
        </w:rPr>
        <w:t>报告编制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发布有关事项的</w:t>
      </w:r>
      <w:r>
        <w:rPr>
          <w:rFonts w:hint="eastAsia" w:ascii="宋体" w:hAnsi="宋体" w:eastAsia="宋体" w:cs="宋体"/>
          <w:sz w:val="24"/>
          <w:szCs w:val="24"/>
        </w:rPr>
        <w:t>通知》（吉政厅函〔20</w:t>
      </w:r>
      <w:r>
        <w:rPr>
          <w:rFonts w:hint="default" w:ascii="宋体" w:hAnsi="宋体" w:eastAsia="宋体" w:cs="宋体"/>
          <w:sz w:val="24"/>
          <w:szCs w:val="24"/>
          <w:lang w:val="en"/>
        </w:rPr>
        <w:t>21</w:t>
      </w:r>
      <w:r>
        <w:rPr>
          <w:rFonts w:hint="eastAsia" w:ascii="宋体" w:hAnsi="宋体" w:eastAsia="宋体" w:cs="宋体"/>
          <w:sz w:val="24"/>
          <w:szCs w:val="24"/>
        </w:rPr>
        <w:t>〕</w:t>
      </w:r>
      <w:r>
        <w:rPr>
          <w:rFonts w:hint="default" w:ascii="宋体" w:hAnsi="宋体" w:eastAsia="宋体" w:cs="宋体"/>
          <w:sz w:val="24"/>
          <w:szCs w:val="24"/>
          <w:lang w:val="en"/>
        </w:rPr>
        <w:t>20</w:t>
      </w:r>
      <w:r>
        <w:rPr>
          <w:rFonts w:hint="eastAsia" w:ascii="宋体" w:hAnsi="宋体" w:eastAsia="宋体" w:cs="宋体"/>
          <w:sz w:val="24"/>
          <w:szCs w:val="24"/>
        </w:rPr>
        <w:t>号）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以及</w:t>
      </w:r>
      <w:r>
        <w:rPr>
          <w:rFonts w:hint="eastAsia" w:ascii="宋体" w:hAnsi="宋体" w:eastAsia="宋体" w:cs="宋体"/>
          <w:sz w:val="24"/>
          <w:szCs w:val="24"/>
        </w:rPr>
        <w:t>《吉林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市</w:t>
      </w:r>
      <w:r>
        <w:rPr>
          <w:rFonts w:hint="eastAsia" w:ascii="宋体" w:hAnsi="宋体" w:eastAsia="宋体" w:cs="宋体"/>
          <w:sz w:val="24"/>
          <w:szCs w:val="24"/>
        </w:rPr>
        <w:t>人民政府办公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室</w:t>
      </w:r>
      <w:r>
        <w:rPr>
          <w:rFonts w:hint="eastAsia" w:ascii="宋体" w:hAnsi="宋体" w:eastAsia="宋体" w:cs="宋体"/>
          <w:sz w:val="24"/>
          <w:szCs w:val="24"/>
        </w:rPr>
        <w:t>关于做好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2022年度</w:t>
      </w:r>
      <w:r>
        <w:rPr>
          <w:rFonts w:hint="eastAsia" w:ascii="宋体" w:hAnsi="宋体" w:eastAsia="宋体" w:cs="宋体"/>
          <w:sz w:val="24"/>
          <w:szCs w:val="24"/>
        </w:rPr>
        <w:t>政府信息公开工作报告编制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工作</w:t>
      </w:r>
      <w:r>
        <w:rPr>
          <w:rFonts w:hint="eastAsia" w:ascii="宋体" w:hAnsi="宋体" w:eastAsia="宋体" w:cs="宋体"/>
          <w:sz w:val="24"/>
          <w:szCs w:val="24"/>
        </w:rPr>
        <w:t>的通知》</w:t>
      </w:r>
      <w:r>
        <w:rPr>
          <w:rFonts w:hint="eastAsia" w:ascii="宋体" w:hAnsi="宋体" w:eastAsia="宋体" w:cs="宋体"/>
          <w:sz w:val="24"/>
          <w:szCs w:val="24"/>
        </w:rPr>
        <w:t>,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吉林</w:t>
      </w:r>
      <w:r>
        <w:rPr>
          <w:rFonts w:hint="eastAsia" w:ascii="宋体" w:hAnsi="宋体" w:eastAsia="宋体" w:cs="宋体"/>
          <w:sz w:val="24"/>
          <w:szCs w:val="24"/>
        </w:rPr>
        <w:t>市教育局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结合工作实际</w:t>
      </w:r>
      <w:r>
        <w:rPr>
          <w:rFonts w:hint="eastAsia" w:ascii="宋体" w:hAnsi="宋体" w:eastAsia="宋体" w:cs="宋体"/>
          <w:sz w:val="24"/>
          <w:szCs w:val="24"/>
        </w:rPr>
        <w:t>编制了202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</w:t>
      </w:r>
      <w:r>
        <w:rPr>
          <w:rFonts w:hint="eastAsia" w:ascii="宋体" w:hAnsi="宋体" w:eastAsia="宋体" w:cs="宋体"/>
          <w:sz w:val="24"/>
          <w:szCs w:val="24"/>
        </w:rPr>
        <w:t>年政府信息公开工作年度报告。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全文</w:t>
      </w:r>
      <w:r>
        <w:rPr>
          <w:rFonts w:hint="eastAsia" w:ascii="宋体" w:hAnsi="宋体" w:eastAsia="宋体" w:cs="宋体"/>
          <w:sz w:val="24"/>
          <w:szCs w:val="24"/>
        </w:rPr>
        <w:t>包括总体情况、主动公开政府信息情况、收到和处理政府信息公开申请情况、政府信息公开行政复议和行政诉讼情况、政府信息公开工作存在的主要问题及改进情况、其他需要报告的事项等六部分组成，报告所列数据统计期限从202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</w:t>
      </w:r>
      <w:r>
        <w:rPr>
          <w:rFonts w:hint="eastAsia" w:ascii="宋体" w:hAnsi="宋体" w:eastAsia="宋体" w:cs="宋体"/>
          <w:sz w:val="24"/>
          <w:szCs w:val="24"/>
        </w:rPr>
        <w:t>年1月1日到12月31日止。本年报通过吉林市人民政府网站—政府信息公开专栏向社会公开。（网址：http://xxgk.jlcity.gov.cn/gzbm/jyj_1/ndbg/）。如对本年报有疑问、意见和建议，请联系吉林市教育局办公室，地址：吉林市越山路11号城建大厦11楼；邮编：132011；联系电话：0432-62032285；邮箱：jlsjyjbgs2018@163.com。现公布吉林市教育局20</w:t>
      </w:r>
      <w:r>
        <w:rPr>
          <w:rFonts w:hint="default" w:ascii="宋体" w:hAnsi="宋体" w:eastAsia="宋体" w:cs="宋体"/>
          <w:sz w:val="24"/>
          <w:szCs w:val="24"/>
          <w:lang w:val="en"/>
        </w:rPr>
        <w:t>2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</w:t>
      </w:r>
      <w:r>
        <w:rPr>
          <w:rFonts w:hint="eastAsia" w:ascii="宋体" w:hAnsi="宋体" w:eastAsia="宋体" w:cs="宋体"/>
          <w:sz w:val="24"/>
          <w:szCs w:val="24"/>
        </w:rPr>
        <w:t>年政府信息公开工作年度报告。</w:t>
      </w:r>
    </w:p>
    <w:p>
      <w:pPr>
        <w:ind w:firstLine="481" w:firstLineChars="200"/>
        <w:rPr>
          <w:rFonts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一、总体情况</w:t>
      </w:r>
    </w:p>
    <w:p>
      <w:pPr>
        <w:ind w:firstLine="480" w:firstLineChars="200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202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</w:t>
      </w:r>
      <w:r>
        <w:rPr>
          <w:rFonts w:hint="eastAsia" w:ascii="宋体" w:hAnsi="宋体" w:eastAsia="宋体" w:cs="宋体"/>
          <w:sz w:val="24"/>
          <w:szCs w:val="24"/>
        </w:rPr>
        <w:t>年以来，在市委市政府的坚强领导下，全市教育工作坚持以习近平新时代中国特色社会主义思想为指导，深入贯彻落实习近平总书记关于教育的重要论述，认真贯彻落实《中华人民共和国政府信息公开条例》精神，以人民群众关注的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教育</w:t>
      </w:r>
      <w:r>
        <w:rPr>
          <w:rFonts w:hint="eastAsia" w:ascii="宋体" w:hAnsi="宋体" w:eastAsia="宋体" w:cs="宋体"/>
          <w:sz w:val="24"/>
          <w:szCs w:val="24"/>
        </w:rPr>
        <w:t>热点、难点问题为导向，抓好招生入学、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校外培训监管、教育“双减”</w:t>
      </w:r>
      <w:r>
        <w:rPr>
          <w:rFonts w:hint="eastAsia" w:ascii="宋体" w:hAnsi="宋体" w:eastAsia="宋体" w:cs="宋体"/>
          <w:sz w:val="24"/>
          <w:szCs w:val="24"/>
        </w:rPr>
        <w:t>等各领域的信息发布，完善平台建设，拓宽信息发布渠道，持续推进政府信息公开标准化、规范化。</w:t>
      </w:r>
    </w:p>
    <w:p>
      <w:pPr>
        <w:ind w:firstLine="480" w:firstLineChars="20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楷体" w:hAnsi="楷体" w:eastAsia="楷体" w:cs="楷体"/>
          <w:sz w:val="24"/>
          <w:szCs w:val="24"/>
          <w:highlight w:val="none"/>
        </w:rPr>
        <w:t>（一）</w:t>
      </w:r>
      <w:r>
        <w:rPr>
          <w:rFonts w:hint="eastAsia" w:ascii="楷体" w:hAnsi="楷体" w:eastAsia="楷体" w:cs="楷体"/>
          <w:sz w:val="24"/>
          <w:szCs w:val="24"/>
          <w:highlight w:val="none"/>
          <w:lang w:eastAsia="zh-CN"/>
        </w:rPr>
        <w:t>积极推动政府信息主动公开。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认真</w:t>
      </w:r>
      <w:r>
        <w:rPr>
          <w:rFonts w:hint="eastAsia" w:ascii="宋体" w:hAnsi="宋体" w:eastAsia="宋体" w:cs="宋体"/>
          <w:sz w:val="24"/>
          <w:szCs w:val="24"/>
        </w:rPr>
        <w:t>做好社会高度关注、涉及群众切身利益的重点民生领域中关于教育的信息公开工作。及时公开义务教育招生政策、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各级各类学校</w:t>
      </w:r>
      <w:r>
        <w:rPr>
          <w:rFonts w:hint="eastAsia" w:ascii="宋体" w:hAnsi="宋体" w:eastAsia="宋体" w:cs="宋体"/>
          <w:sz w:val="24"/>
          <w:szCs w:val="24"/>
        </w:rPr>
        <w:t>考试招生信息、行政事业性收费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、财政预决算、校外培训机构治理</w:t>
      </w:r>
      <w:r>
        <w:rPr>
          <w:rFonts w:hint="eastAsia" w:ascii="宋体" w:hAnsi="宋体" w:eastAsia="宋体" w:cs="宋体"/>
          <w:sz w:val="24"/>
          <w:szCs w:val="24"/>
        </w:rPr>
        <w:t>等相关涉及到群众切身利益的相关政策。</w:t>
      </w:r>
    </w:p>
    <w:p>
      <w:pPr>
        <w:ind w:firstLine="480" w:firstLineChars="200"/>
        <w:rPr>
          <w:rFonts w:ascii="宋体" w:hAnsi="宋体" w:eastAsia="宋体" w:cs="宋体"/>
          <w:sz w:val="24"/>
          <w:szCs w:val="24"/>
        </w:rPr>
      </w:pPr>
      <w:r>
        <w:rPr>
          <w:rFonts w:hint="eastAsia" w:ascii="楷体" w:hAnsi="楷体" w:eastAsia="楷体" w:cs="楷体"/>
          <w:sz w:val="24"/>
          <w:szCs w:val="24"/>
        </w:rPr>
        <w:t>（</w:t>
      </w:r>
      <w:r>
        <w:rPr>
          <w:rFonts w:hint="eastAsia" w:ascii="楷体" w:hAnsi="楷体" w:eastAsia="楷体" w:cs="楷体"/>
          <w:sz w:val="24"/>
          <w:szCs w:val="24"/>
          <w:lang w:eastAsia="zh-CN"/>
        </w:rPr>
        <w:t>二</w:t>
      </w:r>
      <w:r>
        <w:rPr>
          <w:rFonts w:hint="eastAsia" w:ascii="楷体" w:hAnsi="楷体" w:eastAsia="楷体" w:cs="楷体"/>
          <w:sz w:val="24"/>
          <w:szCs w:val="24"/>
        </w:rPr>
        <w:t>）认真规范处理依申请公开。</w:t>
      </w:r>
      <w:r>
        <w:rPr>
          <w:rFonts w:hint="eastAsia" w:ascii="宋体" w:hAnsi="宋体" w:eastAsia="宋体" w:cs="宋体"/>
          <w:sz w:val="24"/>
          <w:szCs w:val="24"/>
        </w:rPr>
        <w:t>强</w:t>
      </w:r>
      <w:r>
        <w:rPr>
          <w:rFonts w:hint="eastAsia" w:ascii="宋体" w:hAnsi="宋体" w:eastAsia="宋体" w:cs="宋体"/>
          <w:sz w:val="24"/>
          <w:szCs w:val="24"/>
        </w:rPr>
        <w:t>化依申请公开工作服务理念，加强与政府信息公开申请人的沟通，完善依申请公开办理流程，明确办理规则，提高答复效率。年初以来，共收到并答复依申请公开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3</w:t>
      </w:r>
      <w:r>
        <w:rPr>
          <w:rFonts w:hint="eastAsia" w:ascii="宋体" w:hAnsi="宋体" w:eastAsia="宋体" w:cs="宋体"/>
          <w:sz w:val="24"/>
          <w:szCs w:val="24"/>
        </w:rPr>
        <w:t>件，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全部依法依规作出答复</w:t>
      </w:r>
      <w:r>
        <w:rPr>
          <w:rFonts w:hint="eastAsia" w:ascii="宋体" w:hAnsi="宋体" w:eastAsia="宋体" w:cs="宋体"/>
          <w:sz w:val="24"/>
          <w:szCs w:val="24"/>
        </w:rPr>
        <w:t>。</w:t>
      </w:r>
    </w:p>
    <w:p>
      <w:pPr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楷体" w:hAnsi="楷体" w:eastAsia="楷体" w:cs="楷体"/>
          <w:sz w:val="24"/>
          <w:szCs w:val="24"/>
        </w:rPr>
        <w:t>（</w:t>
      </w:r>
      <w:r>
        <w:rPr>
          <w:rFonts w:hint="eastAsia" w:ascii="楷体" w:hAnsi="楷体" w:eastAsia="楷体" w:cs="楷体"/>
          <w:sz w:val="24"/>
          <w:szCs w:val="24"/>
          <w:lang w:eastAsia="zh-CN"/>
        </w:rPr>
        <w:t>三</w:t>
      </w:r>
      <w:r>
        <w:rPr>
          <w:rFonts w:hint="eastAsia" w:ascii="楷体" w:hAnsi="楷体" w:eastAsia="楷体" w:cs="楷体"/>
          <w:sz w:val="24"/>
          <w:szCs w:val="24"/>
        </w:rPr>
        <w:t>）不断强化政府信息公开平台内容保障。</w:t>
      </w:r>
      <w:r>
        <w:rPr>
          <w:rFonts w:hint="eastAsia" w:ascii="宋体" w:hAnsi="宋体" w:eastAsia="宋体" w:cs="宋体"/>
          <w:sz w:val="24"/>
          <w:szCs w:val="24"/>
        </w:rPr>
        <w:t>优化政府信息公开专栏建设，做好法定主动公开内容的规范、集中发布工作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，</w:t>
      </w:r>
      <w:r>
        <w:rPr>
          <w:rFonts w:hint="eastAsia" w:ascii="宋体" w:hAnsi="宋体" w:eastAsia="宋体" w:cs="宋体"/>
          <w:sz w:val="24"/>
          <w:szCs w:val="24"/>
        </w:rPr>
        <w:t>推进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教育</w:t>
      </w:r>
      <w:r>
        <w:rPr>
          <w:rFonts w:hint="eastAsia" w:ascii="宋体" w:hAnsi="宋体" w:eastAsia="宋体" w:cs="宋体"/>
          <w:sz w:val="24"/>
          <w:szCs w:val="24"/>
        </w:rPr>
        <w:t>局网站集约化建设。落实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政府信息公开</w:t>
      </w:r>
      <w:r>
        <w:rPr>
          <w:rFonts w:hint="eastAsia" w:ascii="宋体" w:hAnsi="宋体" w:eastAsia="宋体" w:cs="宋体"/>
          <w:sz w:val="24"/>
          <w:szCs w:val="24"/>
        </w:rPr>
        <w:t>专人专责，强化统一政府信息公开平台日常巡查、维护，确保内容及时更新，杜绝错链、断链和内容混杂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等问题的出现</w:t>
      </w:r>
      <w:r>
        <w:rPr>
          <w:rFonts w:hint="eastAsia" w:ascii="宋体" w:hAnsi="宋体" w:eastAsia="宋体" w:cs="宋体"/>
          <w:sz w:val="24"/>
          <w:szCs w:val="24"/>
        </w:rPr>
        <w:t>。</w:t>
      </w:r>
    </w:p>
    <w:p>
      <w:pPr>
        <w:ind w:firstLine="480" w:firstLineChars="200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（</w:t>
      </w:r>
      <w:r>
        <w:rPr>
          <w:rFonts w:hint="eastAsia" w:ascii="楷体" w:hAnsi="楷体" w:eastAsia="楷体" w:cs="楷体"/>
          <w:sz w:val="24"/>
          <w:szCs w:val="24"/>
          <w:lang w:eastAsia="zh-CN"/>
        </w:rPr>
        <w:t>四</w:t>
      </w:r>
      <w:r>
        <w:rPr>
          <w:rFonts w:hint="eastAsia" w:ascii="楷体" w:hAnsi="楷体" w:eastAsia="楷体" w:cs="楷体"/>
          <w:sz w:val="24"/>
          <w:szCs w:val="24"/>
        </w:rPr>
        <w:t>）做好政务信息管理。</w:t>
      </w:r>
      <w:r>
        <w:rPr>
          <w:rFonts w:hint="eastAsia" w:ascii="宋体" w:hAnsi="宋体" w:eastAsia="宋体" w:cs="宋体"/>
          <w:sz w:val="24"/>
          <w:szCs w:val="24"/>
        </w:rPr>
        <w:t>及时更新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政务信息内容，定期调度最新政策信息，各相关处（室）结合本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处（室）业务内容形成相应政策解读及政务信息</w:t>
      </w:r>
      <w:r>
        <w:rPr>
          <w:rFonts w:hint="eastAsia" w:ascii="宋体" w:hAnsi="宋体" w:eastAsia="宋体" w:cs="宋体"/>
          <w:sz w:val="24"/>
          <w:szCs w:val="24"/>
        </w:rPr>
        <w:t>，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层层把关审核后进行上传发布，确保信息内容准确无误、及时有效</w:t>
      </w:r>
      <w:r>
        <w:rPr>
          <w:rFonts w:hint="eastAsia" w:ascii="宋体" w:hAnsi="宋体" w:eastAsia="宋体" w:cs="宋体"/>
          <w:sz w:val="24"/>
          <w:szCs w:val="24"/>
        </w:rPr>
        <w:t>。</w:t>
      </w:r>
    </w:p>
    <w:p>
      <w:pPr>
        <w:ind w:firstLine="481" w:firstLineChars="200"/>
        <w:rPr>
          <w:rFonts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二、主动公开政府信息情况</w:t>
      </w:r>
    </w:p>
    <w:tbl>
      <w:tblPr>
        <w:tblStyle w:val="5"/>
        <w:tblW w:w="9014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461"/>
        <w:gridCol w:w="2184"/>
        <w:gridCol w:w="2184"/>
        <w:gridCol w:w="2185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  <w:jc w:val="center"/>
        </w:trPr>
        <w:tc>
          <w:tcPr>
            <w:tcW w:w="901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第二十条第（一）项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1" w:hRule="atLeast"/>
          <w:jc w:val="center"/>
        </w:trPr>
        <w:tc>
          <w:tcPr>
            <w:tcW w:w="246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信息内容</w:t>
            </w:r>
          </w:p>
        </w:tc>
        <w:tc>
          <w:tcPr>
            <w:tcW w:w="218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本年制发件数</w:t>
            </w:r>
          </w:p>
        </w:tc>
        <w:tc>
          <w:tcPr>
            <w:tcW w:w="218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本年废止件数</w:t>
            </w:r>
          </w:p>
        </w:tc>
        <w:tc>
          <w:tcPr>
            <w:tcW w:w="21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现行有效件数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1" w:hRule="atLeast"/>
          <w:jc w:val="center"/>
        </w:trPr>
        <w:tc>
          <w:tcPr>
            <w:tcW w:w="246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规章</w:t>
            </w:r>
          </w:p>
        </w:tc>
        <w:tc>
          <w:tcPr>
            <w:tcW w:w="218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218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21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  <w:jc w:val="center"/>
        </w:trPr>
        <w:tc>
          <w:tcPr>
            <w:tcW w:w="246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行政规范性文件</w:t>
            </w:r>
          </w:p>
        </w:tc>
        <w:tc>
          <w:tcPr>
            <w:tcW w:w="218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218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21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9014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第二十条第（五）项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1" w:hRule="atLeast"/>
          <w:jc w:val="center"/>
        </w:trPr>
        <w:tc>
          <w:tcPr>
            <w:tcW w:w="246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信息内容</w:t>
            </w:r>
          </w:p>
        </w:tc>
        <w:tc>
          <w:tcPr>
            <w:tcW w:w="6553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本年处理决定数量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1" w:hRule="atLeast"/>
          <w:jc w:val="center"/>
        </w:trPr>
        <w:tc>
          <w:tcPr>
            <w:tcW w:w="246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行政许可</w:t>
            </w:r>
          </w:p>
        </w:tc>
        <w:tc>
          <w:tcPr>
            <w:tcW w:w="6553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1015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6" w:hRule="atLeast"/>
          <w:jc w:val="center"/>
        </w:trPr>
        <w:tc>
          <w:tcPr>
            <w:tcW w:w="9014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第二十条第（六）项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1" w:hRule="atLeast"/>
          <w:jc w:val="center"/>
        </w:trPr>
        <w:tc>
          <w:tcPr>
            <w:tcW w:w="246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信息内容</w:t>
            </w:r>
          </w:p>
        </w:tc>
        <w:tc>
          <w:tcPr>
            <w:tcW w:w="6553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本年处理决定数量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0" w:hRule="atLeast"/>
          <w:jc w:val="center"/>
        </w:trPr>
        <w:tc>
          <w:tcPr>
            <w:tcW w:w="246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行政处罚</w:t>
            </w:r>
          </w:p>
        </w:tc>
        <w:tc>
          <w:tcPr>
            <w:tcW w:w="6553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9" w:hRule="atLeast"/>
          <w:jc w:val="center"/>
        </w:trPr>
        <w:tc>
          <w:tcPr>
            <w:tcW w:w="246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行政强制</w:t>
            </w:r>
          </w:p>
        </w:tc>
        <w:tc>
          <w:tcPr>
            <w:tcW w:w="6553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  <w:jc w:val="center"/>
        </w:trPr>
        <w:tc>
          <w:tcPr>
            <w:tcW w:w="9014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第二十条第（八）项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1" w:hRule="atLeast"/>
          <w:jc w:val="center"/>
        </w:trPr>
        <w:tc>
          <w:tcPr>
            <w:tcW w:w="246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信息内容</w:t>
            </w:r>
          </w:p>
        </w:tc>
        <w:tc>
          <w:tcPr>
            <w:tcW w:w="6553" w:type="dxa"/>
            <w:gridSpan w:val="3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本年收费金额（单位：万元）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1" w:hRule="atLeast"/>
          <w:jc w:val="center"/>
        </w:trPr>
        <w:tc>
          <w:tcPr>
            <w:tcW w:w="246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行政事业性收费</w:t>
            </w:r>
          </w:p>
        </w:tc>
        <w:tc>
          <w:tcPr>
            <w:tcW w:w="6553" w:type="dxa"/>
            <w:gridSpan w:val="3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</w:tbl>
    <w:p>
      <w:pPr>
        <w:numPr>
          <w:ilvl w:val="0"/>
          <w:numId w:val="1"/>
        </w:numPr>
        <w:ind w:firstLine="481" w:firstLineChars="200"/>
        <w:rPr>
          <w:rFonts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收到和处理政府信息公开申请情况</w:t>
      </w:r>
    </w:p>
    <w:tbl>
      <w:tblPr>
        <w:tblStyle w:val="5"/>
        <w:tblW w:w="9071" w:type="dxa"/>
        <w:jc w:val="cente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17"/>
        <w:gridCol w:w="854"/>
        <w:gridCol w:w="2216"/>
        <w:gridCol w:w="683"/>
        <w:gridCol w:w="755"/>
        <w:gridCol w:w="755"/>
        <w:gridCol w:w="925"/>
        <w:gridCol w:w="861"/>
        <w:gridCol w:w="711"/>
        <w:gridCol w:w="694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4" w:hRule="atLeast"/>
          <w:jc w:val="center"/>
        </w:trPr>
        <w:tc>
          <w:tcPr>
            <w:tcW w:w="3687" w:type="dxa"/>
            <w:gridSpan w:val="3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kern w:val="0"/>
                <w:sz w:val="20"/>
                <w:szCs w:val="20"/>
              </w:rPr>
              <w:t>（本列数据的勾稽关系为：第一项加第二项之和，等于第三项加第四项之和）</w:t>
            </w:r>
          </w:p>
        </w:tc>
        <w:tc>
          <w:tcPr>
            <w:tcW w:w="5384" w:type="dxa"/>
            <w:gridSpan w:val="7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申请人情况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3687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683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自</w:t>
            </w:r>
          </w:p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然</w:t>
            </w:r>
          </w:p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人</w:t>
            </w:r>
          </w:p>
        </w:tc>
        <w:tc>
          <w:tcPr>
            <w:tcW w:w="4007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法人或其他组织</w:t>
            </w:r>
          </w:p>
        </w:tc>
        <w:tc>
          <w:tcPr>
            <w:tcW w:w="694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总计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4" w:hRule="atLeast"/>
          <w:jc w:val="center"/>
        </w:trPr>
        <w:tc>
          <w:tcPr>
            <w:tcW w:w="3687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683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商业企业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科研机构</w:t>
            </w:r>
          </w:p>
        </w:tc>
        <w:tc>
          <w:tcPr>
            <w:tcW w:w="92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社会公益组织</w:t>
            </w:r>
          </w:p>
        </w:tc>
        <w:tc>
          <w:tcPr>
            <w:tcW w:w="86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法律服务机构</w:t>
            </w:r>
          </w:p>
        </w:tc>
        <w:tc>
          <w:tcPr>
            <w:tcW w:w="71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其他</w:t>
            </w:r>
          </w:p>
        </w:tc>
        <w:tc>
          <w:tcPr>
            <w:tcW w:w="0" w:type="auto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1" w:hRule="atLeast"/>
          <w:jc w:val="center"/>
        </w:trPr>
        <w:tc>
          <w:tcPr>
            <w:tcW w:w="3687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一、本年新收政府信息公开申请数量</w:t>
            </w:r>
          </w:p>
        </w:tc>
        <w:tc>
          <w:tcPr>
            <w:tcW w:w="68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9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8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1" w:hRule="atLeast"/>
          <w:jc w:val="center"/>
        </w:trPr>
        <w:tc>
          <w:tcPr>
            <w:tcW w:w="3687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二、上年结转政府信息公开申请数量</w:t>
            </w:r>
          </w:p>
        </w:tc>
        <w:tc>
          <w:tcPr>
            <w:tcW w:w="68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Cs w:val="24"/>
                <w:lang w:val="en-US" w:eastAsia="zh-CN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9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8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1" w:hRule="atLeast"/>
          <w:jc w:val="center"/>
        </w:trPr>
        <w:tc>
          <w:tcPr>
            <w:tcW w:w="617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</w:p>
          <w:p>
            <w:pPr>
              <w:widowControl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</w:p>
          <w:p>
            <w:pPr>
              <w:widowControl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</w:p>
          <w:p>
            <w:pPr>
              <w:widowControl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</w:p>
          <w:p>
            <w:pPr>
              <w:widowControl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</w:p>
          <w:p>
            <w:pPr>
              <w:widowControl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</w:p>
          <w:p>
            <w:pPr>
              <w:widowControl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</w:p>
          <w:p>
            <w:pPr>
              <w:widowControl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</w:p>
          <w:p>
            <w:pPr>
              <w:widowControl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</w:p>
          <w:p>
            <w:pPr>
              <w:widowControl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</w:p>
          <w:p>
            <w:pPr>
              <w:widowControl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</w:p>
          <w:p>
            <w:pPr>
              <w:widowControl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</w:p>
          <w:p>
            <w:pPr>
              <w:widowControl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</w:p>
          <w:p>
            <w:pPr>
              <w:widowControl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</w:p>
          <w:p>
            <w:pPr>
              <w:widowControl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</w:p>
          <w:p>
            <w:pPr>
              <w:widowControl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</w:p>
          <w:p>
            <w:pPr>
              <w:widowControl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三、</w:t>
            </w:r>
          </w:p>
          <w:p>
            <w:pPr>
              <w:widowControl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本年度办理结果</w:t>
            </w:r>
          </w:p>
        </w:tc>
        <w:tc>
          <w:tcPr>
            <w:tcW w:w="3070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（一）予以公开</w:t>
            </w:r>
          </w:p>
        </w:tc>
        <w:tc>
          <w:tcPr>
            <w:tcW w:w="68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9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8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9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3070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（二）部分公开</w:t>
            </w:r>
            <w:r>
              <w:rPr>
                <w:rFonts w:hint="eastAsia" w:ascii="楷体" w:hAnsi="楷体" w:eastAsia="楷体" w:cs="宋体"/>
                <w:kern w:val="0"/>
                <w:sz w:val="20"/>
                <w:szCs w:val="20"/>
              </w:rPr>
              <w:t>（区分处理的，只计这一情形，不计其他情形）</w:t>
            </w:r>
          </w:p>
        </w:tc>
        <w:tc>
          <w:tcPr>
            <w:tcW w:w="68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9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8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1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854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20"/>
                <w:szCs w:val="20"/>
              </w:rPr>
              <w:t>（三）不予公开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Theme="minorEastAsia" w:hAnsiTheme="minorEastAsia" w:cstheme="minorEastAsia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20"/>
                <w:szCs w:val="20"/>
              </w:rPr>
              <w:t>1.属于国家秘密</w:t>
            </w:r>
          </w:p>
        </w:tc>
        <w:tc>
          <w:tcPr>
            <w:tcW w:w="68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9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8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9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Theme="minorEastAsia" w:hAnsiTheme="minorEastAsia" w:cstheme="minorEastAsia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20"/>
                <w:szCs w:val="20"/>
              </w:rPr>
              <w:t>2.其他法律行政法规禁止公开</w:t>
            </w:r>
          </w:p>
        </w:tc>
        <w:tc>
          <w:tcPr>
            <w:tcW w:w="68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9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8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1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Theme="minorEastAsia" w:hAnsiTheme="minorEastAsia" w:cstheme="minorEastAsia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20"/>
                <w:szCs w:val="20"/>
              </w:rPr>
              <w:t>3.危及“三安全一稳定”</w:t>
            </w:r>
          </w:p>
        </w:tc>
        <w:tc>
          <w:tcPr>
            <w:tcW w:w="68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9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8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1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Theme="minorEastAsia" w:hAnsiTheme="minorEastAsia" w:cstheme="minorEastAsia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20"/>
                <w:szCs w:val="20"/>
              </w:rPr>
              <w:t>4.保护第三方合法权益</w:t>
            </w:r>
          </w:p>
        </w:tc>
        <w:tc>
          <w:tcPr>
            <w:tcW w:w="68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9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8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Theme="minorEastAsia" w:hAnsiTheme="minorEastAsia" w:cstheme="minorEastAsia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20"/>
                <w:szCs w:val="20"/>
              </w:rPr>
              <w:t>5.属于三类内部事务信息</w:t>
            </w:r>
          </w:p>
        </w:tc>
        <w:tc>
          <w:tcPr>
            <w:tcW w:w="68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9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8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1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Theme="minorEastAsia" w:hAnsiTheme="minorEastAsia" w:cstheme="minorEastAsia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20"/>
                <w:szCs w:val="20"/>
              </w:rPr>
              <w:t>6.属于四类过程性信息</w:t>
            </w:r>
          </w:p>
        </w:tc>
        <w:tc>
          <w:tcPr>
            <w:tcW w:w="68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9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8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4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Theme="minorEastAsia" w:hAnsiTheme="minorEastAsia" w:cstheme="minorEastAsia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20"/>
                <w:szCs w:val="20"/>
              </w:rPr>
              <w:t>7.属于行政执法案卷</w:t>
            </w:r>
          </w:p>
        </w:tc>
        <w:tc>
          <w:tcPr>
            <w:tcW w:w="68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9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8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Theme="minorEastAsia" w:hAnsiTheme="minorEastAsia" w:cstheme="minorEastAsia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20"/>
                <w:szCs w:val="20"/>
              </w:rPr>
              <w:t>8.属于行政查询事项</w:t>
            </w:r>
          </w:p>
        </w:tc>
        <w:tc>
          <w:tcPr>
            <w:tcW w:w="68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9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8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854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（四）无法提供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1.本机关不掌握相关政府信息</w:t>
            </w:r>
          </w:p>
        </w:tc>
        <w:tc>
          <w:tcPr>
            <w:tcW w:w="68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9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8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2.没有现成信息需要另行制作</w:t>
            </w:r>
          </w:p>
        </w:tc>
        <w:tc>
          <w:tcPr>
            <w:tcW w:w="68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9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8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3.补正后申请内容仍不明确</w:t>
            </w:r>
          </w:p>
        </w:tc>
        <w:tc>
          <w:tcPr>
            <w:tcW w:w="68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9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8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8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854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（五）不予处理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1.信访举报投诉类申请</w:t>
            </w:r>
          </w:p>
        </w:tc>
        <w:tc>
          <w:tcPr>
            <w:tcW w:w="68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9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8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7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2.重复申请</w:t>
            </w:r>
          </w:p>
        </w:tc>
        <w:tc>
          <w:tcPr>
            <w:tcW w:w="68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9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8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5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3.要求提供公开出版物</w:t>
            </w:r>
          </w:p>
        </w:tc>
        <w:tc>
          <w:tcPr>
            <w:tcW w:w="68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9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8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4.无正当理由大量反复申请</w:t>
            </w:r>
          </w:p>
        </w:tc>
        <w:tc>
          <w:tcPr>
            <w:tcW w:w="68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9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8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4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5.要求行政机关确认或重新出具已获取信息</w:t>
            </w:r>
          </w:p>
        </w:tc>
        <w:tc>
          <w:tcPr>
            <w:tcW w:w="68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9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8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854" w:type="dxa"/>
            <w:vMerge w:val="restart"/>
            <w:tcBorders>
              <w:top w:val="nil"/>
              <w:left w:val="nil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（六）其他处理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1.申请人无正当理由逾期不补正、行政机关不再处理其政府信息公开申请</w:t>
            </w:r>
          </w:p>
        </w:tc>
        <w:tc>
          <w:tcPr>
            <w:tcW w:w="68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9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8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854" w:type="dxa"/>
            <w:vMerge w:val="continue"/>
            <w:tcBorders>
              <w:left w:val="nil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2.申请人逾期未按收费通知要求缴纳费用、行政机关不再处理其政府信息公开申请</w:t>
            </w:r>
          </w:p>
        </w:tc>
        <w:tc>
          <w:tcPr>
            <w:tcW w:w="68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9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8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854" w:type="dxa"/>
            <w:vMerge w:val="continue"/>
            <w:tcBorders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3.其他</w:t>
            </w:r>
          </w:p>
        </w:tc>
        <w:tc>
          <w:tcPr>
            <w:tcW w:w="68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9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8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4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3070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（七）总计</w:t>
            </w:r>
          </w:p>
        </w:tc>
        <w:tc>
          <w:tcPr>
            <w:tcW w:w="68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/>
              </w:rPr>
              <w:t>3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9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8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/>
              </w:rPr>
              <w:t>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0" w:hRule="atLeast"/>
          <w:jc w:val="center"/>
        </w:trPr>
        <w:tc>
          <w:tcPr>
            <w:tcW w:w="3687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四、结转下年度继续办理</w:t>
            </w:r>
          </w:p>
        </w:tc>
        <w:tc>
          <w:tcPr>
            <w:tcW w:w="68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9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8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</w:tbl>
    <w:p>
      <w:pPr>
        <w:numPr>
          <w:ilvl w:val="0"/>
          <w:numId w:val="1"/>
        </w:numPr>
        <w:ind w:firstLine="481" w:firstLineChars="200"/>
        <w:rPr>
          <w:rFonts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政府信息公开行政复议、行政诉讼情况</w:t>
      </w:r>
    </w:p>
    <w:tbl>
      <w:tblPr>
        <w:tblStyle w:val="5"/>
        <w:tblW w:w="9071" w:type="dxa"/>
        <w:jc w:val="cente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04"/>
        <w:gridCol w:w="604"/>
        <w:gridCol w:w="604"/>
        <w:gridCol w:w="604"/>
        <w:gridCol w:w="575"/>
        <w:gridCol w:w="633"/>
        <w:gridCol w:w="605"/>
        <w:gridCol w:w="605"/>
        <w:gridCol w:w="605"/>
        <w:gridCol w:w="605"/>
        <w:gridCol w:w="605"/>
        <w:gridCol w:w="605"/>
        <w:gridCol w:w="605"/>
        <w:gridCol w:w="606"/>
        <w:gridCol w:w="606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991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行政复议</w:t>
            </w:r>
          </w:p>
        </w:tc>
        <w:tc>
          <w:tcPr>
            <w:tcW w:w="6080" w:type="dxa"/>
            <w:gridSpan w:val="10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行政诉讼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04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结果维持</w:t>
            </w:r>
          </w:p>
        </w:tc>
        <w:tc>
          <w:tcPr>
            <w:tcW w:w="604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结果纠正</w:t>
            </w:r>
          </w:p>
        </w:tc>
        <w:tc>
          <w:tcPr>
            <w:tcW w:w="604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其他结果</w:t>
            </w:r>
          </w:p>
        </w:tc>
        <w:tc>
          <w:tcPr>
            <w:tcW w:w="604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尚未审结</w:t>
            </w:r>
          </w:p>
        </w:tc>
        <w:tc>
          <w:tcPr>
            <w:tcW w:w="575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总计</w:t>
            </w:r>
          </w:p>
        </w:tc>
        <w:tc>
          <w:tcPr>
            <w:tcW w:w="3053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未经复议直接起诉</w:t>
            </w:r>
          </w:p>
        </w:tc>
        <w:tc>
          <w:tcPr>
            <w:tcW w:w="3027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复议后起诉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575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结果维持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结果纠正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其他结果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尚未审结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总计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结果维持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结果纠正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其他结果</w:t>
            </w:r>
          </w:p>
        </w:tc>
        <w:tc>
          <w:tcPr>
            <w:tcW w:w="60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尚未审结</w:t>
            </w:r>
          </w:p>
        </w:tc>
        <w:tc>
          <w:tcPr>
            <w:tcW w:w="60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总计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6" w:hRule="atLeast"/>
          <w:jc w:val="center"/>
        </w:trPr>
        <w:tc>
          <w:tcPr>
            <w:tcW w:w="60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6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</w:tbl>
    <w:p>
      <w:pPr>
        <w:ind w:firstLine="481" w:firstLineChars="200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五、存在的主要问题及改进情况</w:t>
      </w:r>
    </w:p>
    <w:p>
      <w:pPr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（一）主要问题：公开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内容需要进一步细化</w:t>
      </w:r>
      <w:r>
        <w:rPr>
          <w:rFonts w:hint="eastAsia" w:ascii="宋体" w:hAnsi="宋体" w:eastAsia="宋体" w:cs="宋体"/>
          <w:sz w:val="24"/>
          <w:szCs w:val="24"/>
        </w:rPr>
        <w:t>，教育领域信息公开互动性有待加强，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基层政务公开（</w:t>
      </w:r>
      <w:r>
        <w:rPr>
          <w:rFonts w:hint="eastAsia" w:ascii="宋体" w:hAnsi="宋体" w:eastAsia="宋体" w:cs="宋体"/>
          <w:sz w:val="24"/>
          <w:szCs w:val="24"/>
        </w:rPr>
        <w:t>校务公开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）</w:t>
      </w:r>
      <w:r>
        <w:rPr>
          <w:rFonts w:hint="eastAsia" w:ascii="宋体" w:hAnsi="宋体" w:eastAsia="宋体" w:cs="宋体"/>
          <w:sz w:val="24"/>
          <w:szCs w:val="24"/>
        </w:rPr>
        <w:t>标准化水平有待进一步提升。</w:t>
      </w:r>
    </w:p>
    <w:p>
      <w:pPr>
        <w:ind w:firstLine="480" w:firstLineChars="200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（二）改进情况：一是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提升网站互动平台留言答复与依申请公开答复水平</w:t>
      </w:r>
      <w:r>
        <w:rPr>
          <w:rFonts w:hint="eastAsia" w:ascii="宋体" w:hAnsi="宋体" w:eastAsia="宋体" w:cs="宋体"/>
          <w:sz w:val="24"/>
          <w:szCs w:val="24"/>
        </w:rPr>
        <w:t>，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做到依法依规答复，进一步</w:t>
      </w:r>
      <w:r>
        <w:rPr>
          <w:rFonts w:hint="eastAsia" w:ascii="宋体" w:hAnsi="宋体" w:eastAsia="宋体" w:cs="宋体"/>
          <w:sz w:val="24"/>
          <w:szCs w:val="24"/>
        </w:rPr>
        <w:t>优化网民留言、咨询的受理、转办和反馈流程，确保信息沟通畅通。二是及时调整教育领域信息公开评估标准，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推动</w:t>
      </w:r>
      <w:r>
        <w:rPr>
          <w:rFonts w:hint="eastAsia" w:ascii="宋体" w:hAnsi="宋体" w:eastAsia="宋体" w:cs="宋体"/>
          <w:sz w:val="24"/>
          <w:szCs w:val="24"/>
        </w:rPr>
        <w:t>校务公开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。</w:t>
      </w:r>
      <w:bookmarkStart w:id="0" w:name="_GoBack"/>
      <w:bookmarkEnd w:id="0"/>
    </w:p>
    <w:p>
      <w:pPr>
        <w:ind w:firstLine="481" w:firstLineChars="200"/>
        <w:rPr>
          <w:rFonts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六、其他需要报告的事项</w:t>
      </w:r>
    </w:p>
    <w:p>
      <w:pPr>
        <w:ind w:firstLine="480" w:firstLineChars="200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无。</w:t>
      </w:r>
    </w:p>
    <w:sectPr>
      <w:footerReference r:id="rId3" w:type="default"/>
      <w:pgSz w:w="11906" w:h="16838"/>
      <w:pgMar w:top="1440" w:right="1418" w:bottom="1134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Nimbus Roman No9 L"/>
    <w:panose1 w:val="02020603050405020304"/>
    <w:charset w:val="86"/>
    <w:family w:val="auto"/>
    <w:pitch w:val="default"/>
    <w:sig w:usb0="00000000" w:usb1="00000000" w:usb2="00000008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Liberation Serif">
    <w:panose1 w:val="02020603050405020304"/>
    <w:charset w:val="00"/>
    <w:family w:val="auto"/>
    <w:pitch w:val="default"/>
    <w:sig w:usb0="A00002AF" w:usb1="500078FB" w:usb2="00000000" w:usb3="00000000" w:csb0="6000009F" w:csb1="DFD7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676919734"/>
    </w:sdtPr>
    <w:sdtContent>
      <w:p>
        <w:pPr>
          <w:pStyle w:val="3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1</w:t>
        </w:r>
        <w:r>
          <w:fldChar w:fldCharType="end"/>
        </w:r>
      </w:p>
    </w:sdtContent>
  </w:sdt>
  <w:p>
    <w:pPr>
      <w:pStyle w:val="3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04075A3"/>
    <w:multiLevelType w:val="singleLevel"/>
    <w:tmpl w:val="704075A3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6"/>
  <w:displayBackgroundShape w:val="true"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4669"/>
    <w:rsid w:val="000429A0"/>
    <w:rsid w:val="00096DC5"/>
    <w:rsid w:val="000A26C7"/>
    <w:rsid w:val="000B03EF"/>
    <w:rsid w:val="000C1993"/>
    <w:rsid w:val="000C67C0"/>
    <w:rsid w:val="000E0C5E"/>
    <w:rsid w:val="000E192A"/>
    <w:rsid w:val="000F054B"/>
    <w:rsid w:val="000F6CBB"/>
    <w:rsid w:val="00114B99"/>
    <w:rsid w:val="00155746"/>
    <w:rsid w:val="00160AE1"/>
    <w:rsid w:val="00191C02"/>
    <w:rsid w:val="001D4047"/>
    <w:rsid w:val="002103ED"/>
    <w:rsid w:val="002139CE"/>
    <w:rsid w:val="00262B9B"/>
    <w:rsid w:val="00300E1E"/>
    <w:rsid w:val="00336CF7"/>
    <w:rsid w:val="0035451E"/>
    <w:rsid w:val="003D3B92"/>
    <w:rsid w:val="003E711E"/>
    <w:rsid w:val="00416D51"/>
    <w:rsid w:val="004253CE"/>
    <w:rsid w:val="004967D0"/>
    <w:rsid w:val="004D73DA"/>
    <w:rsid w:val="004E4B70"/>
    <w:rsid w:val="00504BDA"/>
    <w:rsid w:val="00515455"/>
    <w:rsid w:val="00585A9C"/>
    <w:rsid w:val="00594038"/>
    <w:rsid w:val="005C606B"/>
    <w:rsid w:val="005D128B"/>
    <w:rsid w:val="00634E91"/>
    <w:rsid w:val="00666084"/>
    <w:rsid w:val="00667371"/>
    <w:rsid w:val="007178F5"/>
    <w:rsid w:val="00732470"/>
    <w:rsid w:val="00782C19"/>
    <w:rsid w:val="007B17B1"/>
    <w:rsid w:val="007B5621"/>
    <w:rsid w:val="007B6DE2"/>
    <w:rsid w:val="0080399C"/>
    <w:rsid w:val="00822540"/>
    <w:rsid w:val="00831E99"/>
    <w:rsid w:val="00844529"/>
    <w:rsid w:val="0084463A"/>
    <w:rsid w:val="00864104"/>
    <w:rsid w:val="00866A45"/>
    <w:rsid w:val="00882FCE"/>
    <w:rsid w:val="00887377"/>
    <w:rsid w:val="008C4B26"/>
    <w:rsid w:val="00915401"/>
    <w:rsid w:val="00941A7B"/>
    <w:rsid w:val="009458D3"/>
    <w:rsid w:val="009601BA"/>
    <w:rsid w:val="009737BC"/>
    <w:rsid w:val="009E0E6F"/>
    <w:rsid w:val="00A04FB9"/>
    <w:rsid w:val="00A45231"/>
    <w:rsid w:val="00A7351A"/>
    <w:rsid w:val="00A76BD9"/>
    <w:rsid w:val="00AD6863"/>
    <w:rsid w:val="00B16D57"/>
    <w:rsid w:val="00B34B60"/>
    <w:rsid w:val="00B50AB5"/>
    <w:rsid w:val="00B751E4"/>
    <w:rsid w:val="00B83021"/>
    <w:rsid w:val="00B86BEF"/>
    <w:rsid w:val="00B93336"/>
    <w:rsid w:val="00BC6098"/>
    <w:rsid w:val="00C834FE"/>
    <w:rsid w:val="00CD1012"/>
    <w:rsid w:val="00CF3763"/>
    <w:rsid w:val="00D72931"/>
    <w:rsid w:val="00DC3320"/>
    <w:rsid w:val="00E05F91"/>
    <w:rsid w:val="00E1093B"/>
    <w:rsid w:val="00E1401D"/>
    <w:rsid w:val="00E40A4D"/>
    <w:rsid w:val="00E73B0E"/>
    <w:rsid w:val="00EA0B0A"/>
    <w:rsid w:val="00EB1AAF"/>
    <w:rsid w:val="00EB486F"/>
    <w:rsid w:val="00EC161F"/>
    <w:rsid w:val="00EC335E"/>
    <w:rsid w:val="00EE4669"/>
    <w:rsid w:val="00EE507F"/>
    <w:rsid w:val="00EF5CFE"/>
    <w:rsid w:val="00F46632"/>
    <w:rsid w:val="00F56DF8"/>
    <w:rsid w:val="00FF4EA9"/>
    <w:rsid w:val="01C74C41"/>
    <w:rsid w:val="03615DE6"/>
    <w:rsid w:val="04B70161"/>
    <w:rsid w:val="06A434A5"/>
    <w:rsid w:val="0D1C7438"/>
    <w:rsid w:val="0EF95E3E"/>
    <w:rsid w:val="0F841BAC"/>
    <w:rsid w:val="10D94ED9"/>
    <w:rsid w:val="12AB7BEB"/>
    <w:rsid w:val="13916BB7"/>
    <w:rsid w:val="16F67B0A"/>
    <w:rsid w:val="18DE0B8B"/>
    <w:rsid w:val="1D326A70"/>
    <w:rsid w:val="1F4E26E0"/>
    <w:rsid w:val="21463587"/>
    <w:rsid w:val="243F343F"/>
    <w:rsid w:val="2AFE7BEA"/>
    <w:rsid w:val="2B25609B"/>
    <w:rsid w:val="2BC71311"/>
    <w:rsid w:val="2F560859"/>
    <w:rsid w:val="31C902D1"/>
    <w:rsid w:val="345E7490"/>
    <w:rsid w:val="34707FB0"/>
    <w:rsid w:val="393E5745"/>
    <w:rsid w:val="3B291E3A"/>
    <w:rsid w:val="3BA453BA"/>
    <w:rsid w:val="3DD99F76"/>
    <w:rsid w:val="3DF88844"/>
    <w:rsid w:val="3E620C74"/>
    <w:rsid w:val="3ED76D58"/>
    <w:rsid w:val="400E44FB"/>
    <w:rsid w:val="450C3AC5"/>
    <w:rsid w:val="49181DCF"/>
    <w:rsid w:val="4A02676F"/>
    <w:rsid w:val="4BCC7E94"/>
    <w:rsid w:val="51D907C9"/>
    <w:rsid w:val="524F43BC"/>
    <w:rsid w:val="56B07488"/>
    <w:rsid w:val="608B5AEC"/>
    <w:rsid w:val="61382CF4"/>
    <w:rsid w:val="68EE3DB7"/>
    <w:rsid w:val="69912B2A"/>
    <w:rsid w:val="6DA66DF4"/>
    <w:rsid w:val="6FB026B2"/>
    <w:rsid w:val="70E7254E"/>
    <w:rsid w:val="71917722"/>
    <w:rsid w:val="72544ACF"/>
    <w:rsid w:val="74484734"/>
    <w:rsid w:val="792539DA"/>
    <w:rsid w:val="79F53FD4"/>
    <w:rsid w:val="7D5102A0"/>
    <w:rsid w:val="7FB82F36"/>
    <w:rsid w:val="C1FF9842"/>
    <w:rsid w:val="FB7CAA17"/>
    <w:rsid w:val="FFB81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qFormat/>
    <w:uiPriority w:val="99"/>
    <w:rPr>
      <w:sz w:val="18"/>
      <w:szCs w:val="18"/>
    </w:rPr>
  </w:style>
  <w:style w:type="character" w:customStyle="1" w:styleId="9">
    <w:name w:val="批注框文本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215</Words>
  <Characters>1231</Characters>
  <Lines>10</Lines>
  <Paragraphs>2</Paragraphs>
  <TotalTime>2</TotalTime>
  <ScaleCrop>false</ScaleCrop>
  <LinksUpToDate>false</LinksUpToDate>
  <CharactersWithSpaces>1444</CharactersWithSpaces>
  <Application>WPS Office_11.8.2.9831_F1E327BC-269C-435d-A152-05C5408002CA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2021-01-10T22:07:00Z</dcterms:created>
  <dc:creator>lenovo</dc:creator>
  <cp:lastModifiedBy>inspur</cp:lastModifiedBy>
  <cp:lastPrinted>2022-01-12T23:10:00Z</cp:lastPrinted>
  <dcterms:modified xsi:type="dcterms:W3CDTF">2023-01-05T17:41:41Z</dcterms:modified>
  <cp:revision>74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2052-11.8.2.9831</vt:lpwstr>
  </property>
  <property fmtid="{D5CDD505-2E9C-101B-9397-08002B2CF9AE}" pid="3" name="ICV">
    <vt:lpwstr>97FEFCB10DA14C8C9B7E747115EE5E50</vt:lpwstr>
  </property>
</Properties>
</file>