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D7E4BD" w:themeColor="accent3" w:themeTint="66"/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吉林市商务局202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</w:rPr>
        <w:t>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年政府信息工作年报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中华人民共和国政府信息公开条例》规定，现公布吉林市商务局2022年政府信息公开年报。本年报由总体情况、主动公开政府信息情况、收到和处理政府信息公开申请情况、因政府信息公开工作被申请行政复议及提起行政诉讼的情况、政府信息公开工作存在的主要问题及改进情况、其他需要报告的事项等六部分组成。本年报中所列数据的统计期限自2022年1月1日起至2022年12月31日止。本年度报告的电子版可以在吉林市人民政府门户网站——政府信息公开专栏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_GB2312" w:cs="Times New Roman"/>
          <w:sz w:val="32"/>
          <w:szCs w:val="32"/>
        </w:rPr>
        <w:instrText xml:space="preserve"> HYPERLINK "http://www.jlcity.gov.cn/" </w:instrText>
      </w: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separate"/>
      </w:r>
      <w:r>
        <w:rPr>
          <w:rFonts w:hint="default" w:ascii="Times New Roman" w:hAnsi="Times New Roman" w:eastAsia="仿宋_GB2312" w:cs="Times New Roman"/>
          <w:sz w:val="32"/>
          <w:szCs w:val="32"/>
        </w:rPr>
        <w:t>http://www.jlcity.gov.cn/</w:t>
      </w: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end"/>
      </w:r>
      <w:r>
        <w:rPr>
          <w:rFonts w:hint="default" w:ascii="Times New Roman" w:hAnsi="Times New Roman" w:eastAsia="仿宋_GB2312" w:cs="Times New Roman"/>
          <w:sz w:val="32"/>
          <w:szCs w:val="32"/>
        </w:rPr>
        <w:t>）上下载。如对本年度报告有任何疑问，请与吉林市商务局办公室联系（地址：吉林市松江中路65号，邮编：132011，电话：0432-62049918）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</w:pPr>
      <w:r>
        <w:rPr>
          <w:rFonts w:hint="eastAsia" w:ascii="楷体" w:hAnsi="楷体" w:eastAsia="楷体" w:cs="楷体"/>
          <w:sz w:val="32"/>
          <w:szCs w:val="32"/>
        </w:rPr>
        <w:t>（一）政务信息主动公开情况。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Hans"/>
        </w:rPr>
        <w:t>按照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吉林市商务局政务公开（政府信息公开）工作领导小组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Hans"/>
        </w:rPr>
        <w:t>工作制度规定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，按照“公开为原则、不公开为例外”的准则，局行政审批办公室、综合处、法规处按照三定方案分别负责审批、信息维护、执法等相关工作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。市商务局通过微信公众号、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Hans"/>
        </w:rPr>
        <w:t>市政府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门户网站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Hans"/>
        </w:rPr>
        <w:t>等平台，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全年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Hans"/>
        </w:rPr>
        <w:t>积极持续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发布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Hans"/>
        </w:rPr>
        <w:t>各类工作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信息，切实有效履行公开义务。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一是梳理调整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Hans"/>
        </w:rPr>
        <w:t>全局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政府信息公开目录。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根据政府信息公开工作要求，对目录信息逐条进行分类，并对文字格式进行重新排版发布。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二是完成法定主动公开内容。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将法定主动公开内容栏目中将涉及我局的履职依据；文件、公告类信息；机关简介；权责事项；行政许可和办事服务办理结果；行政处罚；预算决算；行政事业性收费；政府采购；重大项目；公务员招考录用；其他信息等内容逐条完善，并达到标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三是完善政府信息公开指南。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及时将本部门政府信息公开年度报告、指南进行格式规范，按要求发布栏目首页，网页前端显示规范。及时上传部门基本信息和主动公开目录清单，做到政府信息公开目录升级后各项内容合理规范。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楷体" w:hAnsi="楷体" w:eastAsia="楷体" w:cs="楷体"/>
          <w:sz w:val="32"/>
          <w:szCs w:val="32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Hans"/>
        </w:rPr>
        <w:t>二</w:t>
      </w:r>
      <w:r>
        <w:rPr>
          <w:rFonts w:hint="default" w:ascii="楷体" w:hAnsi="楷体" w:eastAsia="楷体" w:cs="楷体"/>
          <w:sz w:val="32"/>
          <w:szCs w:val="32"/>
        </w:rPr>
        <w:t>）规范处理依申请公开。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按标准做好依申请公开工作，及时查看、查收依申请公开渠道，严格按照法定程序和时限，注重沟通协调，提高服务质量和公开效率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2022年度未收到政府信息公开申请。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楷体" w:hAnsi="楷体" w:eastAsia="楷体" w:cs="楷体"/>
          <w:sz w:val="32"/>
          <w:szCs w:val="32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Hans"/>
        </w:rPr>
        <w:t>三</w:t>
      </w:r>
      <w:r>
        <w:rPr>
          <w:rFonts w:hint="default" w:ascii="楷体" w:hAnsi="楷体" w:eastAsia="楷体" w:cs="楷体"/>
          <w:sz w:val="32"/>
          <w:szCs w:val="32"/>
        </w:rPr>
        <w:t>）强化政府信息公开平台内容保障。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进一步明确政府信息公开标准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进一步规范市商务局门户网站和政府信息公开网站信息公开目录、范围、内容、程序和发布格式，并按照最新要求对政府信息进行公开；完善政府信息公开指南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做好政府信息公开工作。全年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Hans"/>
        </w:rPr>
        <w:t>市商务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局政府信息公开工作无被上级通报，无行政复议、行政诉讼结果被纠正情况。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楷体" w:hAnsi="楷体" w:eastAsia="楷体" w:cs="楷体"/>
          <w:sz w:val="32"/>
          <w:szCs w:val="32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Hans"/>
        </w:rPr>
        <w:t>四</w:t>
      </w:r>
      <w:r>
        <w:rPr>
          <w:rFonts w:hint="default" w:ascii="楷体" w:hAnsi="楷体" w:eastAsia="楷体" w:cs="楷体"/>
          <w:sz w:val="32"/>
          <w:szCs w:val="32"/>
        </w:rPr>
        <w:t>）</w:t>
      </w:r>
      <w:r>
        <w:rPr>
          <w:rFonts w:hint="eastAsia" w:ascii="楷体" w:hAnsi="楷体" w:eastAsia="楷体" w:cs="楷体"/>
          <w:sz w:val="32"/>
          <w:szCs w:val="32"/>
          <w:lang w:val="en-US" w:eastAsia="zh-Hans"/>
        </w:rPr>
        <w:t>强化</w:t>
      </w:r>
      <w:r>
        <w:rPr>
          <w:rFonts w:hint="default" w:ascii="楷体" w:hAnsi="楷体" w:eastAsia="楷体" w:cs="楷体"/>
          <w:sz w:val="32"/>
          <w:szCs w:val="32"/>
        </w:rPr>
        <w:t>宣传培训评估考核等基础工作。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将《政府信息公开条例》纳入局党组理论中心组学习计划，班子成员开展专题学习。局政务公开领导小组办公室组织专题培训，提高具体工作人员业务能力。对政府信息公开的主体和原则、范围和内容、方式和程序、监督和保障等方面的知识做了明确的讲解，增强贯彻落实的主动性和自觉性，有效破解了对政府信息公开工作的错误认识和难以落实等难题，全局干部政务公开意识和业务素质普遍提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楷体" w:hAnsi="楷体" w:eastAsia="楷体" w:cs="楷体"/>
          <w:sz w:val="32"/>
          <w:szCs w:val="32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Hans"/>
        </w:rPr>
        <w:t>五</w:t>
      </w:r>
      <w:r>
        <w:rPr>
          <w:rFonts w:hint="default" w:ascii="楷体" w:hAnsi="楷体" w:eastAsia="楷体" w:cs="楷体"/>
          <w:sz w:val="32"/>
          <w:szCs w:val="32"/>
        </w:rPr>
        <w:t>）加强行政规范性文件解读。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坚持把政务信息公开工作作为全局重点工作来抓，全力加快打造服务型机关。针对行政规范性文件专业性强，可能产生误读等情况，市商务局不折不扣抓好政策解读，确保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Hans"/>
        </w:rPr>
        <w:t>新政策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听得懂、记得住、用得上，避免误解误读。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</w:rPr>
        <w:t>二、主动公开政府信息情况</w:t>
      </w:r>
    </w:p>
    <w:tbl>
      <w:tblPr>
        <w:tblStyle w:val="6"/>
        <w:tblW w:w="901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61"/>
        <w:gridCol w:w="2184"/>
        <w:gridCol w:w="2184"/>
        <w:gridCol w:w="2185"/>
      </w:tblGrid>
      <w:tr>
        <w:trPr>
          <w:trHeight w:val="495" w:hRule="atLeast"/>
          <w:jc w:val="center"/>
        </w:trPr>
        <w:tc>
          <w:tcPr>
            <w:tcW w:w="901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第二十条第（一）项</w:t>
            </w:r>
          </w:p>
        </w:tc>
      </w:tr>
      <w:tr>
        <w:trPr>
          <w:trHeight w:val="431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本年制发件数</w:t>
            </w:r>
          </w:p>
        </w:tc>
        <w:tc>
          <w:tcPr>
            <w:tcW w:w="21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本年废止件数</w:t>
            </w:r>
          </w:p>
        </w:tc>
        <w:tc>
          <w:tcPr>
            <w:tcW w:w="2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现行有效件数</w:t>
            </w:r>
          </w:p>
        </w:tc>
      </w:tr>
      <w:tr>
        <w:trPr>
          <w:trHeight w:val="431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1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</w:p>
        </w:tc>
      </w:tr>
      <w:tr>
        <w:trPr>
          <w:trHeight w:val="471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21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1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rPr>
          <w:trHeight w:val="480" w:hRule="atLeast"/>
          <w:jc w:val="center"/>
        </w:trPr>
        <w:tc>
          <w:tcPr>
            <w:tcW w:w="901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第二十条第（五）项</w:t>
            </w:r>
          </w:p>
        </w:tc>
      </w:tr>
      <w:tr>
        <w:trPr>
          <w:trHeight w:val="431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55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本年处理决定数量</w:t>
            </w:r>
          </w:p>
        </w:tc>
      </w:tr>
      <w:tr>
        <w:trPr>
          <w:trHeight w:val="431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55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</w:p>
        </w:tc>
      </w:tr>
      <w:tr>
        <w:trPr>
          <w:trHeight w:val="406" w:hRule="atLeast"/>
          <w:jc w:val="center"/>
        </w:trPr>
        <w:tc>
          <w:tcPr>
            <w:tcW w:w="901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第二十条第（六）项</w:t>
            </w:r>
          </w:p>
        </w:tc>
      </w:tr>
      <w:tr>
        <w:trPr>
          <w:trHeight w:val="431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55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本年处理决定数量</w:t>
            </w:r>
          </w:p>
        </w:tc>
      </w:tr>
      <w:tr>
        <w:trPr>
          <w:trHeight w:val="430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55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</w:p>
        </w:tc>
      </w:tr>
      <w:tr>
        <w:trPr>
          <w:trHeight w:val="409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55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</w:p>
        </w:tc>
      </w:tr>
      <w:tr>
        <w:trPr>
          <w:trHeight w:val="474" w:hRule="atLeast"/>
          <w:jc w:val="center"/>
        </w:trPr>
        <w:tc>
          <w:tcPr>
            <w:tcW w:w="901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第二十条第（八）项</w:t>
            </w:r>
          </w:p>
        </w:tc>
      </w:tr>
      <w:tr>
        <w:trPr>
          <w:trHeight w:val="431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553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本年收费金额（单位：万元）</w:t>
            </w:r>
          </w:p>
        </w:tc>
      </w:tr>
      <w:tr>
        <w:trPr>
          <w:trHeight w:val="431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553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三、</w:t>
      </w:r>
      <w:r>
        <w:rPr>
          <w:rFonts w:hint="default" w:ascii="黑体" w:hAnsi="黑体" w:eastAsia="黑体" w:cs="黑体"/>
          <w:b w:val="0"/>
          <w:bCs w:val="0"/>
          <w:sz w:val="32"/>
          <w:szCs w:val="32"/>
        </w:rPr>
        <w:t>收到和处理政府信息公开申请情况</w:t>
      </w:r>
    </w:p>
    <w:tbl>
      <w:tblPr>
        <w:tblStyle w:val="6"/>
        <w:tblW w:w="0" w:type="auto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36"/>
        <w:gridCol w:w="854"/>
        <w:gridCol w:w="2216"/>
        <w:gridCol w:w="741"/>
        <w:gridCol w:w="755"/>
        <w:gridCol w:w="755"/>
        <w:gridCol w:w="925"/>
        <w:gridCol w:w="861"/>
        <w:gridCol w:w="741"/>
        <w:gridCol w:w="741"/>
      </w:tblGrid>
      <w:tr>
        <w:trPr>
          <w:trHeight w:val="404" w:hRule="atLeast"/>
          <w:jc w:val="center"/>
        </w:trPr>
        <w:tc>
          <w:tcPr>
            <w:tcW w:w="3687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5384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申请人情况</w:t>
            </w:r>
          </w:p>
        </w:tc>
      </w:tr>
      <w:tr>
        <w:trPr>
          <w:trHeight w:val="414" w:hRule="atLeast"/>
          <w:jc w:val="center"/>
        </w:trPr>
        <w:tc>
          <w:tcPr>
            <w:tcW w:w="368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683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自然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人</w:t>
            </w:r>
          </w:p>
        </w:tc>
        <w:tc>
          <w:tcPr>
            <w:tcW w:w="400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法人或其他组织</w:t>
            </w:r>
          </w:p>
        </w:tc>
        <w:tc>
          <w:tcPr>
            <w:tcW w:w="69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总计</w:t>
            </w:r>
          </w:p>
        </w:tc>
      </w:tr>
      <w:tr>
        <w:trPr>
          <w:trHeight w:val="774" w:hRule="atLeast"/>
          <w:jc w:val="center"/>
        </w:trPr>
        <w:tc>
          <w:tcPr>
            <w:tcW w:w="368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683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商业企业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科研机构</w:t>
            </w:r>
          </w:p>
        </w:tc>
        <w:tc>
          <w:tcPr>
            <w:tcW w:w="9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社会公益组织</w:t>
            </w:r>
          </w:p>
        </w:tc>
        <w:tc>
          <w:tcPr>
            <w:tcW w:w="86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法律服务机构</w:t>
            </w:r>
          </w:p>
        </w:tc>
        <w:tc>
          <w:tcPr>
            <w:tcW w:w="71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其他</w:t>
            </w: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rPr>
          <w:trHeight w:val="431" w:hRule="atLeast"/>
          <w:jc w:val="center"/>
        </w:trPr>
        <w:tc>
          <w:tcPr>
            <w:tcW w:w="368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rPr>
          <w:trHeight w:val="431" w:hRule="atLeast"/>
          <w:jc w:val="center"/>
        </w:trPr>
        <w:tc>
          <w:tcPr>
            <w:tcW w:w="368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rPr>
          <w:trHeight w:val="431" w:hRule="atLeast"/>
          <w:jc w:val="center"/>
        </w:trPr>
        <w:tc>
          <w:tcPr>
            <w:tcW w:w="61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三、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本年度办理结果</w:t>
            </w:r>
          </w:p>
        </w:tc>
        <w:tc>
          <w:tcPr>
            <w:tcW w:w="307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（一）予以公开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rPr>
          <w:trHeight w:val="431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（三）不予公开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1.属于国家秘密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2.其他法律行政法规禁止公开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rPr>
          <w:trHeight w:val="431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3.危及“三安全一稳定”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rPr>
          <w:trHeight w:val="431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4.保护第三方合法权益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5.属于三类内部事务信息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rPr>
          <w:trHeight w:val="431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6.属于四类过程性信息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rPr>
          <w:trHeight w:val="58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7.属于行政执法案卷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rPr>
          <w:trHeight w:val="54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8.属于行政查询事项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（四）无法提供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1.本机关不掌握相关政府信息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2.没有现成信息需要另行制作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3.补正后申请内容仍不明确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rPr>
          <w:trHeight w:val="568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（五）不予处理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1.信访举报投诉类申请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rPr>
          <w:trHeight w:val="667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2.重复申请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rPr>
          <w:trHeight w:val="70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3.要求提供公开出版物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rPr>
          <w:trHeight w:val="68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4.无正当理由大量反复申请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rPr>
          <w:trHeight w:val="70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5.要求行政机关确认或重新出具已获取信息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rPr>
          <w:trHeight w:val="522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（六）其他处理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1.申请人无正当理由逾期不补正、行政机关不再处理其政府信息公开申请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rPr>
          <w:trHeight w:val="522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854" w:type="dxa"/>
            <w:vMerge w:val="continue"/>
            <w:tcBorders>
              <w:left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2.申请人逾期未按收费通知要求缴纳费用、行政机关不再处理其政府信息公开申请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rPr>
          <w:trHeight w:val="522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854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3.其他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rPr>
          <w:trHeight w:val="54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（七）总计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rPr>
          <w:trHeight w:val="650" w:hRule="atLeast"/>
          <w:jc w:val="center"/>
        </w:trPr>
        <w:tc>
          <w:tcPr>
            <w:tcW w:w="368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四、结转下年度继续办理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政府信息公开行政复议、行政诉讼情况</w:t>
      </w:r>
    </w:p>
    <w:tbl>
      <w:tblPr>
        <w:tblStyle w:val="6"/>
        <w:tblW w:w="928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"/>
        <w:gridCol w:w="635"/>
        <w:gridCol w:w="669"/>
        <w:gridCol w:w="646"/>
        <w:gridCol w:w="681"/>
        <w:gridCol w:w="531"/>
        <w:gridCol w:w="519"/>
        <w:gridCol w:w="565"/>
        <w:gridCol w:w="566"/>
        <w:gridCol w:w="670"/>
        <w:gridCol w:w="553"/>
        <w:gridCol w:w="565"/>
        <w:gridCol w:w="565"/>
        <w:gridCol w:w="577"/>
        <w:gridCol w:w="836"/>
      </w:tblGrid>
      <w:tr>
        <w:trPr>
          <w:jc w:val="center"/>
        </w:trPr>
        <w:tc>
          <w:tcPr>
            <w:tcW w:w="333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行政复议</w:t>
            </w:r>
          </w:p>
        </w:tc>
        <w:tc>
          <w:tcPr>
            <w:tcW w:w="594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行政诉讼</w:t>
            </w:r>
          </w:p>
        </w:tc>
      </w:tr>
      <w:tr>
        <w:trPr>
          <w:jc w:val="center"/>
        </w:trPr>
        <w:tc>
          <w:tcPr>
            <w:tcW w:w="70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3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6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4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81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总计</w:t>
            </w:r>
          </w:p>
        </w:tc>
        <w:tc>
          <w:tcPr>
            <w:tcW w:w="2851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未经复议直接起诉</w:t>
            </w:r>
          </w:p>
        </w:tc>
        <w:tc>
          <w:tcPr>
            <w:tcW w:w="3096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复议后起诉</w:t>
            </w:r>
          </w:p>
        </w:tc>
      </w:tr>
      <w:tr>
        <w:trPr>
          <w:jc w:val="center"/>
        </w:trPr>
        <w:tc>
          <w:tcPr>
            <w:tcW w:w="70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63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66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64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68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5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56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7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总计</w:t>
            </w:r>
          </w:p>
        </w:tc>
        <w:tc>
          <w:tcPr>
            <w:tcW w:w="55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5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5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5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8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总计</w:t>
            </w:r>
          </w:p>
        </w:tc>
      </w:tr>
      <w:tr>
        <w:trPr>
          <w:trHeight w:val="696" w:hRule="atLeast"/>
          <w:jc w:val="center"/>
        </w:trPr>
        <w:tc>
          <w:tcPr>
            <w:tcW w:w="7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5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5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5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eastAsia="zh-CN"/>
        </w:rPr>
        <w:t>五、存在的问题及改进情况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市商务局将进一步加强组织领导，完善政务公开各项制度，加大信息公开的范围。一是全面提高信息公开质量。加强部门政务信息周期管理，进一步规范政务信息制作、获取、保存、公开等相关流程，确保政务信息的权威性、及时性和有效性。二是进一步加强政策解读。聚焦商务部门职能和民生关切，将政策解读与政策制定工作同步考虑，通过各种形式开展解读，及时转载对政策文件精神解读到位的媒体文章，形成传播合力，增强政策的传播力、影响力。三是进一步优化公开机制。继续完善和规范局门户网站、政务公开网、微信公众号等平台管理，健全并严格执行信息采编发布审核制度、信息保密审查制度等管理制度。严格按时间要求，及时更新动态栏目信息，主动回应社会关切。进一步加强政务信息公开培训工作，提高政务信息公开工作的能力和水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eastAsia="zh-CN"/>
        </w:rPr>
        <w:t>六、其他需要报告的事项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无其他需要报告的事项。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440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0" w:usb1="00000000" w:usb2="00000000" w:usb3="00000000" w:csb0="0016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6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楷体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中山行书百年纪念版">
    <w:panose1 w:val="02010609000101010101"/>
    <w:charset w:val="86"/>
    <w:family w:val="auto"/>
    <w:pitch w:val="default"/>
    <w:sig w:usb0="00000000" w:usb1="00000000" w:usb2="00000000" w:usb3="00000000" w:csb0="000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76919734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NotDisplayPageBoundaries w:val="1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669"/>
    <w:rsid w:val="000429A0"/>
    <w:rsid w:val="00096DC5"/>
    <w:rsid w:val="000A26C7"/>
    <w:rsid w:val="000B03EF"/>
    <w:rsid w:val="000C1993"/>
    <w:rsid w:val="000C67C0"/>
    <w:rsid w:val="000E0C5E"/>
    <w:rsid w:val="000E192A"/>
    <w:rsid w:val="000F054B"/>
    <w:rsid w:val="000F6CBB"/>
    <w:rsid w:val="00114B99"/>
    <w:rsid w:val="00145877"/>
    <w:rsid w:val="00155746"/>
    <w:rsid w:val="00160AE1"/>
    <w:rsid w:val="00176158"/>
    <w:rsid w:val="001862D0"/>
    <w:rsid w:val="00191C02"/>
    <w:rsid w:val="001D4047"/>
    <w:rsid w:val="002103ED"/>
    <w:rsid w:val="002139CE"/>
    <w:rsid w:val="00262B9B"/>
    <w:rsid w:val="002B5EE7"/>
    <w:rsid w:val="00300E1E"/>
    <w:rsid w:val="00314229"/>
    <w:rsid w:val="00336CF7"/>
    <w:rsid w:val="0035451E"/>
    <w:rsid w:val="003C7374"/>
    <w:rsid w:val="003D3B92"/>
    <w:rsid w:val="003E711E"/>
    <w:rsid w:val="00416D51"/>
    <w:rsid w:val="004253CE"/>
    <w:rsid w:val="004967D0"/>
    <w:rsid w:val="004C1524"/>
    <w:rsid w:val="004D73DA"/>
    <w:rsid w:val="004E4B70"/>
    <w:rsid w:val="00504BDA"/>
    <w:rsid w:val="00515455"/>
    <w:rsid w:val="005434B0"/>
    <w:rsid w:val="00585A9C"/>
    <w:rsid w:val="00594038"/>
    <w:rsid w:val="005C606B"/>
    <w:rsid w:val="005D128B"/>
    <w:rsid w:val="00634E91"/>
    <w:rsid w:val="00647D2D"/>
    <w:rsid w:val="00666084"/>
    <w:rsid w:val="00667371"/>
    <w:rsid w:val="006A6685"/>
    <w:rsid w:val="007178F5"/>
    <w:rsid w:val="00732470"/>
    <w:rsid w:val="00782C19"/>
    <w:rsid w:val="007B17B1"/>
    <w:rsid w:val="007B5621"/>
    <w:rsid w:val="007B6DE2"/>
    <w:rsid w:val="0080399C"/>
    <w:rsid w:val="00822540"/>
    <w:rsid w:val="00831E99"/>
    <w:rsid w:val="00844529"/>
    <w:rsid w:val="0084463A"/>
    <w:rsid w:val="00864104"/>
    <w:rsid w:val="00866A45"/>
    <w:rsid w:val="00882FCE"/>
    <w:rsid w:val="00887377"/>
    <w:rsid w:val="008C4B26"/>
    <w:rsid w:val="00915401"/>
    <w:rsid w:val="00941A7B"/>
    <w:rsid w:val="009458D3"/>
    <w:rsid w:val="009601BA"/>
    <w:rsid w:val="009737BC"/>
    <w:rsid w:val="009A45E3"/>
    <w:rsid w:val="009E0E6F"/>
    <w:rsid w:val="00A04FB9"/>
    <w:rsid w:val="00A45231"/>
    <w:rsid w:val="00A63A26"/>
    <w:rsid w:val="00A7351A"/>
    <w:rsid w:val="00A76BD9"/>
    <w:rsid w:val="00AD6863"/>
    <w:rsid w:val="00B16D57"/>
    <w:rsid w:val="00B34B60"/>
    <w:rsid w:val="00B50AB5"/>
    <w:rsid w:val="00B751E4"/>
    <w:rsid w:val="00B83021"/>
    <w:rsid w:val="00B86BEF"/>
    <w:rsid w:val="00B93336"/>
    <w:rsid w:val="00BC6098"/>
    <w:rsid w:val="00C834FE"/>
    <w:rsid w:val="00CD1012"/>
    <w:rsid w:val="00CF3763"/>
    <w:rsid w:val="00D72931"/>
    <w:rsid w:val="00DC3320"/>
    <w:rsid w:val="00E05F91"/>
    <w:rsid w:val="00E1093B"/>
    <w:rsid w:val="00E1401D"/>
    <w:rsid w:val="00E40A4D"/>
    <w:rsid w:val="00E43AFB"/>
    <w:rsid w:val="00E73B0E"/>
    <w:rsid w:val="00EA0B0A"/>
    <w:rsid w:val="00EB1AAF"/>
    <w:rsid w:val="00EB486F"/>
    <w:rsid w:val="00EC161F"/>
    <w:rsid w:val="00EC335E"/>
    <w:rsid w:val="00EE4669"/>
    <w:rsid w:val="00EE507F"/>
    <w:rsid w:val="00EF5CFE"/>
    <w:rsid w:val="00F32997"/>
    <w:rsid w:val="00F46632"/>
    <w:rsid w:val="00F56DF8"/>
    <w:rsid w:val="00FF4EA9"/>
    <w:rsid w:val="01C74C41"/>
    <w:rsid w:val="03615DE6"/>
    <w:rsid w:val="04B70161"/>
    <w:rsid w:val="06A434A5"/>
    <w:rsid w:val="0D1C7438"/>
    <w:rsid w:val="0EF95E3E"/>
    <w:rsid w:val="0F841BAC"/>
    <w:rsid w:val="10D94ED9"/>
    <w:rsid w:val="12AB7BEB"/>
    <w:rsid w:val="13916BB7"/>
    <w:rsid w:val="16F67B0A"/>
    <w:rsid w:val="18DE0B8B"/>
    <w:rsid w:val="1D326A70"/>
    <w:rsid w:val="1F4E26E0"/>
    <w:rsid w:val="21463587"/>
    <w:rsid w:val="243F343F"/>
    <w:rsid w:val="2AFE7BEA"/>
    <w:rsid w:val="2B25609B"/>
    <w:rsid w:val="2BC71311"/>
    <w:rsid w:val="2F560859"/>
    <w:rsid w:val="31C902D1"/>
    <w:rsid w:val="31FB7128"/>
    <w:rsid w:val="345E7490"/>
    <w:rsid w:val="34707FB0"/>
    <w:rsid w:val="393E5745"/>
    <w:rsid w:val="3B291E3A"/>
    <w:rsid w:val="3BA453BA"/>
    <w:rsid w:val="3E620C74"/>
    <w:rsid w:val="3ED76D58"/>
    <w:rsid w:val="3F59BB33"/>
    <w:rsid w:val="3FBDA0C9"/>
    <w:rsid w:val="400E44FB"/>
    <w:rsid w:val="437315A2"/>
    <w:rsid w:val="450C3AC5"/>
    <w:rsid w:val="49181DCF"/>
    <w:rsid w:val="4A02676F"/>
    <w:rsid w:val="4BCC7E94"/>
    <w:rsid w:val="51D907C9"/>
    <w:rsid w:val="524F43BC"/>
    <w:rsid w:val="56B07488"/>
    <w:rsid w:val="57BEA383"/>
    <w:rsid w:val="5F3CECAF"/>
    <w:rsid w:val="608B5AEC"/>
    <w:rsid w:val="61382CF4"/>
    <w:rsid w:val="678AE2AC"/>
    <w:rsid w:val="68EE3DB7"/>
    <w:rsid w:val="69912B2A"/>
    <w:rsid w:val="6DA66DF4"/>
    <w:rsid w:val="6FB026B2"/>
    <w:rsid w:val="70E7254E"/>
    <w:rsid w:val="71917722"/>
    <w:rsid w:val="71E3BD3F"/>
    <w:rsid w:val="72544ACF"/>
    <w:rsid w:val="738E6BC7"/>
    <w:rsid w:val="74484734"/>
    <w:rsid w:val="76DB920E"/>
    <w:rsid w:val="792539DA"/>
    <w:rsid w:val="79F53FD4"/>
    <w:rsid w:val="7B7D8127"/>
    <w:rsid w:val="7D5102A0"/>
    <w:rsid w:val="7DE708CF"/>
    <w:rsid w:val="7EECE409"/>
    <w:rsid w:val="7EEE6BFA"/>
    <w:rsid w:val="7FB82F36"/>
    <w:rsid w:val="7FDFE9B3"/>
    <w:rsid w:val="7FFFC46A"/>
    <w:rsid w:val="97FF0C22"/>
    <w:rsid w:val="97FFDE6A"/>
    <w:rsid w:val="9BBEC022"/>
    <w:rsid w:val="9FBFC193"/>
    <w:rsid w:val="B6D50625"/>
    <w:rsid w:val="B77EA54A"/>
    <w:rsid w:val="BFEF306A"/>
    <w:rsid w:val="D3DB89A1"/>
    <w:rsid w:val="E6EF462B"/>
    <w:rsid w:val="E7FF1D84"/>
    <w:rsid w:val="F7FEF893"/>
    <w:rsid w:val="FBF55ADE"/>
    <w:rsid w:val="FF3F9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rPr>
      <w:rFonts w:ascii="Times New Roman" w:hAnsi="Times New Roman" w:cs="Times New Roman"/>
      <w:sz w:val="24"/>
      <w:szCs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488</Words>
  <Characters>2787</Characters>
  <Lines>23</Lines>
  <Paragraphs>6</Paragraphs>
  <TotalTime>51</TotalTime>
  <ScaleCrop>false</ScaleCrop>
  <LinksUpToDate>false</LinksUpToDate>
  <CharactersWithSpaces>3269</CharactersWithSpaces>
  <Application>WPS Office_5.0.0.7550_F1E327BC-269C-435d-A152-05C5408002CA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2021-01-10T14:07:00Z</dcterms:created>
  <dc:creator>lenovo</dc:creator>
  <cp:lastModifiedBy>郭骁毅</cp:lastModifiedBy>
  <cp:lastPrinted>2021-01-15T15:20:00Z</cp:lastPrinted>
  <dcterms:modified xsi:type="dcterms:W3CDTF">2023-01-13T09:29:43Z</dcterms:modified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2052-5.0.0.7550</vt:lpwstr>
  </property>
  <property fmtid="{D5CDD505-2E9C-101B-9397-08002B2CF9AE}" pid="3" name="ICV">
    <vt:lpwstr>97FEFCB10DA14C8C9B7E747115EE5E50</vt:lpwstr>
  </property>
</Properties>
</file>